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58" w:rsidRDefault="005D6058" w:rsidP="005D6058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</w:p>
    <w:p w:rsidR="005D6058" w:rsidRDefault="005D6058" w:rsidP="005D6058">
      <w:pPr>
        <w:jc w:val="right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48A5FA86" wp14:editId="2288B0AC">
            <wp:extent cx="1323975" cy="600075"/>
            <wp:effectExtent l="0" t="0" r="9525" b="9525"/>
            <wp:docPr id="2" name="Picture 2" descr="I:\LOGO 99 Design\JPEGS\CRA Tel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 99 Design\JPEGS\CRA Tel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58" w:rsidRDefault="005D6058" w:rsidP="005D605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  <w:r w:rsidR="00447F86" w:rsidRPr="00447F86">
        <w:rPr>
          <w:sz w:val="52"/>
          <w:szCs w:val="52"/>
        </w:rPr>
        <w:t>The Agent Relationship Model</w:t>
      </w:r>
    </w:p>
    <w:p w:rsidR="005D6058" w:rsidRPr="005D6058" w:rsidRDefault="005D6058" w:rsidP="005D6058">
      <w:pPr>
        <w:rPr>
          <w:sz w:val="24"/>
          <w:szCs w:val="24"/>
        </w:rPr>
      </w:pPr>
    </w:p>
    <w:p w:rsidR="00447F86" w:rsidRPr="005D6058" w:rsidRDefault="004B1EE8" w:rsidP="00DC2258">
      <w:r w:rsidRPr="005D6058">
        <w:t>Each</w:t>
      </w:r>
      <w:r w:rsidR="005D6058" w:rsidRPr="005D6058">
        <w:t xml:space="preserve"> </w:t>
      </w:r>
      <w:r w:rsidR="00DC2258" w:rsidRPr="005D6058">
        <w:t>status level receives the same</w:t>
      </w:r>
      <w:r w:rsidR="00846A3B" w:rsidRPr="005D6058">
        <w:t xml:space="preserve"> high</w:t>
      </w:r>
      <w:r w:rsidR="00DC2258" w:rsidRPr="005D6058">
        <w:t xml:space="preserve"> quality, experienced staff and our commitment to excellence on any work we perform.    We are dedicated to all Agents and all customers equally, regardless of Agent Status.</w:t>
      </w:r>
    </w:p>
    <w:p w:rsidR="00485823" w:rsidRPr="005D6058" w:rsidRDefault="00485823" w:rsidP="00DC2258"/>
    <w:p w:rsidR="00447F86" w:rsidRPr="005D6058" w:rsidRDefault="00447F86" w:rsidP="00447F86">
      <w:pPr>
        <w:jc w:val="center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430"/>
        <w:gridCol w:w="2587"/>
        <w:gridCol w:w="3173"/>
        <w:gridCol w:w="3690"/>
      </w:tblGrid>
      <w:tr w:rsidR="005D6058" w:rsidRPr="005D6058" w:rsidTr="00046771">
        <w:tc>
          <w:tcPr>
            <w:tcW w:w="2430" w:type="dxa"/>
          </w:tcPr>
          <w:p w:rsidR="00EB6B49" w:rsidRPr="005D6058" w:rsidRDefault="00EB6B49" w:rsidP="00447F86">
            <w:pPr>
              <w:jc w:val="center"/>
              <w:rPr>
                <w:b/>
                <w:sz w:val="28"/>
                <w:szCs w:val="28"/>
              </w:rPr>
            </w:pPr>
            <w:r w:rsidRPr="005D6058">
              <w:rPr>
                <w:b/>
                <w:sz w:val="28"/>
                <w:szCs w:val="28"/>
              </w:rPr>
              <w:t>Agent Status</w:t>
            </w:r>
          </w:p>
        </w:tc>
        <w:tc>
          <w:tcPr>
            <w:tcW w:w="2587" w:type="dxa"/>
          </w:tcPr>
          <w:p w:rsidR="00EB6B49" w:rsidRPr="005D6058" w:rsidRDefault="00EB6B49" w:rsidP="00447F86">
            <w:pPr>
              <w:jc w:val="center"/>
              <w:rPr>
                <w:b/>
                <w:sz w:val="28"/>
                <w:szCs w:val="28"/>
              </w:rPr>
            </w:pPr>
            <w:r w:rsidRPr="005D6058">
              <w:rPr>
                <w:b/>
                <w:sz w:val="28"/>
                <w:szCs w:val="28"/>
              </w:rPr>
              <w:t>CRA Commitment</w:t>
            </w:r>
          </w:p>
        </w:tc>
        <w:tc>
          <w:tcPr>
            <w:tcW w:w="3173" w:type="dxa"/>
          </w:tcPr>
          <w:p w:rsidR="00EB6B49" w:rsidRPr="005D6058" w:rsidRDefault="00EB6B49" w:rsidP="00447F86">
            <w:pPr>
              <w:jc w:val="center"/>
              <w:rPr>
                <w:b/>
                <w:sz w:val="28"/>
                <w:szCs w:val="28"/>
              </w:rPr>
            </w:pPr>
            <w:r w:rsidRPr="005D6058">
              <w:rPr>
                <w:b/>
                <w:sz w:val="28"/>
                <w:szCs w:val="28"/>
              </w:rPr>
              <w:t>Agent Commitment</w:t>
            </w:r>
          </w:p>
        </w:tc>
        <w:tc>
          <w:tcPr>
            <w:tcW w:w="3690" w:type="dxa"/>
          </w:tcPr>
          <w:p w:rsidR="00EB6B49" w:rsidRPr="005D6058" w:rsidRDefault="00EB6B49" w:rsidP="00447F86">
            <w:pPr>
              <w:jc w:val="center"/>
              <w:rPr>
                <w:b/>
                <w:sz w:val="28"/>
                <w:szCs w:val="28"/>
              </w:rPr>
            </w:pPr>
            <w:r w:rsidRPr="005D6058">
              <w:rPr>
                <w:b/>
                <w:sz w:val="28"/>
                <w:szCs w:val="28"/>
              </w:rPr>
              <w:t>Revenue Structure</w:t>
            </w:r>
          </w:p>
        </w:tc>
      </w:tr>
      <w:tr w:rsidR="005D6058" w:rsidRPr="005D6058" w:rsidTr="00046771">
        <w:tc>
          <w:tcPr>
            <w:tcW w:w="2430" w:type="dxa"/>
            <w:vAlign w:val="center"/>
          </w:tcPr>
          <w:p w:rsidR="00EB6B49" w:rsidRPr="005D6058" w:rsidRDefault="00EB6B49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Preferred</w:t>
            </w:r>
          </w:p>
        </w:tc>
        <w:tc>
          <w:tcPr>
            <w:tcW w:w="2587" w:type="dxa"/>
            <w:vAlign w:val="center"/>
          </w:tcPr>
          <w:p w:rsidR="00EB6B49" w:rsidRPr="005D6058" w:rsidRDefault="00DC2258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A</w:t>
            </w:r>
            <w:r w:rsidR="00EB6B49" w:rsidRPr="005D6058">
              <w:rPr>
                <w:sz w:val="24"/>
                <w:szCs w:val="24"/>
              </w:rPr>
              <w:t>lways available to serve</w:t>
            </w:r>
          </w:p>
        </w:tc>
        <w:tc>
          <w:tcPr>
            <w:tcW w:w="3173" w:type="dxa"/>
            <w:vAlign w:val="center"/>
          </w:tcPr>
          <w:p w:rsidR="00EB6B49" w:rsidRPr="005D6058" w:rsidRDefault="00EB6B49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 xml:space="preserve">100% of all orders, </w:t>
            </w:r>
            <w:r w:rsidR="00046771" w:rsidRPr="005D6058">
              <w:rPr>
                <w:sz w:val="24"/>
                <w:szCs w:val="24"/>
              </w:rPr>
              <w:t>repairs, MACS and billing</w:t>
            </w:r>
            <w:r w:rsidR="00893F09" w:rsidRPr="005D6058">
              <w:rPr>
                <w:sz w:val="24"/>
                <w:szCs w:val="24"/>
              </w:rPr>
              <w:t xml:space="preserve"> </w:t>
            </w:r>
            <w:r w:rsidR="00D1723B" w:rsidRPr="005D6058">
              <w:rPr>
                <w:sz w:val="24"/>
                <w:szCs w:val="24"/>
              </w:rPr>
              <w:t>issues</w:t>
            </w:r>
            <w:r w:rsidR="00046771" w:rsidRPr="005D6058">
              <w:rPr>
                <w:sz w:val="24"/>
                <w:szCs w:val="24"/>
              </w:rPr>
              <w:t xml:space="preserve"> </w:t>
            </w:r>
            <w:r w:rsidRPr="005D6058">
              <w:rPr>
                <w:sz w:val="24"/>
                <w:szCs w:val="24"/>
              </w:rPr>
              <w:t xml:space="preserve"> are processed through CRA</w:t>
            </w:r>
          </w:p>
        </w:tc>
        <w:tc>
          <w:tcPr>
            <w:tcW w:w="3690" w:type="dxa"/>
            <w:vAlign w:val="center"/>
          </w:tcPr>
          <w:p w:rsidR="00EB6B49" w:rsidRPr="005D6058" w:rsidRDefault="00EB6B49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Lowest rate structure guaranteed</w:t>
            </w:r>
          </w:p>
        </w:tc>
      </w:tr>
      <w:tr w:rsidR="005D6058" w:rsidRPr="005D6058" w:rsidTr="00046771">
        <w:tc>
          <w:tcPr>
            <w:tcW w:w="2430" w:type="dxa"/>
            <w:vAlign w:val="center"/>
          </w:tcPr>
          <w:p w:rsidR="00EB6B49" w:rsidRPr="005D6058" w:rsidRDefault="00EB6B49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Standard</w:t>
            </w:r>
          </w:p>
        </w:tc>
        <w:tc>
          <w:tcPr>
            <w:tcW w:w="2587" w:type="dxa"/>
            <w:vAlign w:val="center"/>
          </w:tcPr>
          <w:p w:rsidR="00EB6B49" w:rsidRPr="005D6058" w:rsidRDefault="00DC2258" w:rsidP="00DC2258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A</w:t>
            </w:r>
            <w:r w:rsidR="00EB6B49" w:rsidRPr="005D6058">
              <w:rPr>
                <w:sz w:val="24"/>
                <w:szCs w:val="24"/>
              </w:rPr>
              <w:t>lways available to serve</w:t>
            </w:r>
          </w:p>
        </w:tc>
        <w:tc>
          <w:tcPr>
            <w:tcW w:w="3173" w:type="dxa"/>
            <w:vAlign w:val="center"/>
          </w:tcPr>
          <w:p w:rsidR="00EB6B49" w:rsidRPr="005D6058" w:rsidRDefault="00046771" w:rsidP="004B1EE8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 xml:space="preserve">100% of all </w:t>
            </w:r>
            <w:r w:rsidR="00DC2258" w:rsidRPr="005D6058">
              <w:rPr>
                <w:sz w:val="24"/>
                <w:szCs w:val="24"/>
              </w:rPr>
              <w:t>orders in one or more of the following categories</w:t>
            </w:r>
            <w:r w:rsidR="004B1EE8" w:rsidRPr="005D6058">
              <w:rPr>
                <w:sz w:val="24"/>
                <w:szCs w:val="24"/>
              </w:rPr>
              <w:t>:</w:t>
            </w:r>
            <w:r w:rsidR="00DC2258" w:rsidRPr="005D6058">
              <w:rPr>
                <w:sz w:val="24"/>
                <w:szCs w:val="24"/>
              </w:rPr>
              <w:t xml:space="preserve"> </w:t>
            </w:r>
            <w:r w:rsidR="00EB6B49" w:rsidRPr="005D6058">
              <w:rPr>
                <w:sz w:val="24"/>
                <w:szCs w:val="24"/>
              </w:rPr>
              <w:t xml:space="preserve"> customer, technology or Carrier</w:t>
            </w:r>
          </w:p>
        </w:tc>
        <w:tc>
          <w:tcPr>
            <w:tcW w:w="3690" w:type="dxa"/>
            <w:vAlign w:val="center"/>
          </w:tcPr>
          <w:p w:rsidR="00EB6B49" w:rsidRPr="005D6058" w:rsidRDefault="00EB6B49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Rates are</w:t>
            </w:r>
            <w:r w:rsidR="00046771" w:rsidRPr="005D6058">
              <w:rPr>
                <w:sz w:val="24"/>
                <w:szCs w:val="24"/>
              </w:rPr>
              <w:t xml:space="preserve"> 15% higher than the Preferred S</w:t>
            </w:r>
            <w:r w:rsidRPr="005D6058">
              <w:rPr>
                <w:sz w:val="24"/>
                <w:szCs w:val="24"/>
              </w:rPr>
              <w:t>tatus.</w:t>
            </w:r>
          </w:p>
        </w:tc>
        <w:bookmarkStart w:id="0" w:name="_GoBack"/>
        <w:bookmarkEnd w:id="0"/>
      </w:tr>
      <w:tr w:rsidR="00EB6B49" w:rsidRPr="005D6058" w:rsidTr="00046771">
        <w:tc>
          <w:tcPr>
            <w:tcW w:w="2430" w:type="dxa"/>
            <w:vAlign w:val="center"/>
          </w:tcPr>
          <w:p w:rsidR="00EB6B49" w:rsidRPr="005D6058" w:rsidRDefault="00EB6B49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Casual</w:t>
            </w:r>
          </w:p>
        </w:tc>
        <w:tc>
          <w:tcPr>
            <w:tcW w:w="2587" w:type="dxa"/>
            <w:vAlign w:val="center"/>
          </w:tcPr>
          <w:p w:rsidR="00EB6B49" w:rsidRPr="005D6058" w:rsidRDefault="00046771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When available</w:t>
            </w:r>
          </w:p>
        </w:tc>
        <w:tc>
          <w:tcPr>
            <w:tcW w:w="3173" w:type="dxa"/>
            <w:vAlign w:val="center"/>
          </w:tcPr>
          <w:p w:rsidR="00EB6B49" w:rsidRPr="005D6058" w:rsidRDefault="00046771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>No commitment</w:t>
            </w:r>
          </w:p>
        </w:tc>
        <w:tc>
          <w:tcPr>
            <w:tcW w:w="3690" w:type="dxa"/>
            <w:vAlign w:val="center"/>
          </w:tcPr>
          <w:p w:rsidR="00EB6B49" w:rsidRPr="005D6058" w:rsidRDefault="00046771" w:rsidP="00046771">
            <w:pPr>
              <w:jc w:val="center"/>
              <w:rPr>
                <w:sz w:val="24"/>
                <w:szCs w:val="24"/>
              </w:rPr>
            </w:pPr>
            <w:r w:rsidRPr="005D6058">
              <w:rPr>
                <w:sz w:val="24"/>
                <w:szCs w:val="24"/>
              </w:rPr>
              <w:t xml:space="preserve">Rates are 25% higher than </w:t>
            </w:r>
            <w:r w:rsidR="004B1EE8" w:rsidRPr="005D6058">
              <w:rPr>
                <w:sz w:val="24"/>
                <w:szCs w:val="24"/>
              </w:rPr>
              <w:t xml:space="preserve">the </w:t>
            </w:r>
            <w:r w:rsidRPr="005D6058">
              <w:rPr>
                <w:sz w:val="24"/>
                <w:szCs w:val="24"/>
              </w:rPr>
              <w:t>Preferred Status</w:t>
            </w:r>
          </w:p>
        </w:tc>
      </w:tr>
    </w:tbl>
    <w:p w:rsidR="00D1723B" w:rsidRDefault="00D1723B" w:rsidP="00046771">
      <w:pPr>
        <w:rPr>
          <w:sz w:val="28"/>
          <w:szCs w:val="28"/>
        </w:rPr>
      </w:pPr>
    </w:p>
    <w:p w:rsidR="005D6058" w:rsidRPr="005D6058" w:rsidRDefault="005D6058" w:rsidP="00046771">
      <w:pPr>
        <w:rPr>
          <w:sz w:val="28"/>
          <w:szCs w:val="28"/>
        </w:rPr>
      </w:pPr>
    </w:p>
    <w:p w:rsidR="00DC2258" w:rsidRPr="005D6058" w:rsidRDefault="004B1EE8" w:rsidP="00046771">
      <w:r w:rsidRPr="005D6058">
        <w:t>W</w:t>
      </w:r>
      <w:r w:rsidR="00E93931" w:rsidRPr="005D6058">
        <w:t xml:space="preserve">hen applying for </w:t>
      </w:r>
      <w:r w:rsidR="00893F09" w:rsidRPr="005D6058">
        <w:t>Status</w:t>
      </w:r>
      <w:r w:rsidRPr="005D6058">
        <w:t>,</w:t>
      </w:r>
      <w:r w:rsidR="00E93931" w:rsidRPr="005D6058">
        <w:t xml:space="preserve"> </w:t>
      </w:r>
      <w:r w:rsidRPr="005D6058">
        <w:t xml:space="preserve">each Agent </w:t>
      </w:r>
      <w:r w:rsidR="00E93931" w:rsidRPr="005D6058">
        <w:t>must present</w:t>
      </w:r>
      <w:r w:rsidR="00DC2258" w:rsidRPr="005D6058">
        <w:t xml:space="preserve"> </w:t>
      </w:r>
      <w:r w:rsidR="00C82FE8" w:rsidRPr="005D6058">
        <w:t xml:space="preserve">Carrier documentation from the past </w:t>
      </w:r>
      <w:r w:rsidR="005D6058" w:rsidRPr="005D6058">
        <w:t>year, detailing</w:t>
      </w:r>
      <w:r w:rsidR="00C82FE8" w:rsidRPr="005D6058">
        <w:t xml:space="preserve"> the number and types of orders submitted.</w:t>
      </w:r>
      <w:r w:rsidR="00DC2258" w:rsidRPr="005D6058">
        <w:t xml:space="preserve">  Th</w:t>
      </w:r>
      <w:r w:rsidR="00C82FE8" w:rsidRPr="005D6058">
        <w:t>is</w:t>
      </w:r>
      <w:r w:rsidR="00DC2258" w:rsidRPr="005D6058">
        <w:t xml:space="preserve"> historical d</w:t>
      </w:r>
      <w:r w:rsidR="0007481E" w:rsidRPr="005D6058">
        <w:t>ata</w:t>
      </w:r>
      <w:r w:rsidR="00DC2258" w:rsidRPr="005D6058">
        <w:t>, plus future projections will be used to measure</w:t>
      </w:r>
      <w:r w:rsidR="00C82FE8" w:rsidRPr="005D6058">
        <w:t xml:space="preserve"> anticipated</w:t>
      </w:r>
      <w:r w:rsidR="0007481E" w:rsidRPr="005D6058">
        <w:t xml:space="preserve"> work volume and commitment for the next twelve months.</w:t>
      </w:r>
      <w:r w:rsidR="00DC2258" w:rsidRPr="005D6058">
        <w:t xml:space="preserve"> Without this</w:t>
      </w:r>
      <w:r w:rsidR="0007481E" w:rsidRPr="005D6058">
        <w:t xml:space="preserve"> information</w:t>
      </w:r>
      <w:r w:rsidR="00C82FE8" w:rsidRPr="005D6058">
        <w:t>,</w:t>
      </w:r>
      <w:r w:rsidR="00DC2258" w:rsidRPr="005D6058">
        <w:t xml:space="preserve"> </w:t>
      </w:r>
      <w:r w:rsidR="00C82FE8" w:rsidRPr="005D6058">
        <w:t xml:space="preserve">CRA cannot </w:t>
      </w:r>
      <w:r w:rsidR="0007481E" w:rsidRPr="005D6058">
        <w:t>meet</w:t>
      </w:r>
      <w:r w:rsidR="00483C05" w:rsidRPr="005D6058">
        <w:t xml:space="preserve"> the level of service we guarantee </w:t>
      </w:r>
      <w:r w:rsidR="0007481E" w:rsidRPr="005D6058">
        <w:t>our customers.</w:t>
      </w:r>
    </w:p>
    <w:p w:rsidR="00DC2258" w:rsidRPr="005D6058" w:rsidRDefault="00DC2258" w:rsidP="00046771"/>
    <w:p w:rsidR="00DC2258" w:rsidRPr="005D6058" w:rsidRDefault="00DC2258" w:rsidP="00046771">
      <w:r w:rsidRPr="005D6058">
        <w:t>The key factor</w:t>
      </w:r>
      <w:r w:rsidR="00E93931" w:rsidRPr="005D6058">
        <w:t xml:space="preserve">s </w:t>
      </w:r>
      <w:r w:rsidRPr="005D6058">
        <w:t>in d</w:t>
      </w:r>
      <w:r w:rsidR="00E93931" w:rsidRPr="005D6058">
        <w:t xml:space="preserve">etermining </w:t>
      </w:r>
      <w:r w:rsidR="00145A5F" w:rsidRPr="005D6058">
        <w:t>s</w:t>
      </w:r>
      <w:r w:rsidR="00E93931" w:rsidRPr="005D6058">
        <w:t>tatus</w:t>
      </w:r>
      <w:r w:rsidR="00893F09" w:rsidRPr="005D6058">
        <w:t xml:space="preserve"> are</w:t>
      </w:r>
      <w:r w:rsidR="00E93931" w:rsidRPr="005D6058">
        <w:t xml:space="preserve"> the importance of support being available when needed and the depth of</w:t>
      </w:r>
      <w:r w:rsidR="00893F09" w:rsidRPr="005D6058">
        <w:t xml:space="preserve"> the Agent’s</w:t>
      </w:r>
      <w:r w:rsidR="00E93931" w:rsidRPr="005D6058">
        <w:t xml:space="preserve"> existing internal resources</w:t>
      </w:r>
      <w:r w:rsidR="00893F09" w:rsidRPr="005D6058">
        <w:t xml:space="preserve">.   If reliability is </w:t>
      </w:r>
      <w:r w:rsidR="004B1EE8" w:rsidRPr="005D6058">
        <w:t>essential</w:t>
      </w:r>
      <w:r w:rsidR="00893F09" w:rsidRPr="005D6058">
        <w:t>,</w:t>
      </w:r>
      <w:r w:rsidR="00E93931" w:rsidRPr="005D6058">
        <w:t xml:space="preserve"> then </w:t>
      </w:r>
      <w:r w:rsidRPr="005D6058">
        <w:t>Preferred or St</w:t>
      </w:r>
      <w:r w:rsidR="00893F09" w:rsidRPr="005D6058">
        <w:t>andard status should be requested</w:t>
      </w:r>
      <w:r w:rsidRPr="005D6058">
        <w:t>.</w:t>
      </w:r>
    </w:p>
    <w:p w:rsidR="00DC2258" w:rsidRPr="005D6058" w:rsidRDefault="00DC2258" w:rsidP="00046771"/>
    <w:p w:rsidR="00DC2258" w:rsidRPr="005D6058" w:rsidRDefault="00145A5F" w:rsidP="00046771">
      <w:r w:rsidRPr="005D6058">
        <w:t>Every four</w:t>
      </w:r>
      <w:r w:rsidR="00DC2258" w:rsidRPr="005D6058">
        <w:t xml:space="preserve"> months, the Preferred and Standard Agents will meet with CRA t</w:t>
      </w:r>
      <w:r w:rsidR="00C82FE8" w:rsidRPr="005D6058">
        <w:t>o determine if their projections</w:t>
      </w:r>
      <w:r w:rsidR="00893F09" w:rsidRPr="005D6058">
        <w:t xml:space="preserve"> are on track and the proper CRA resources are in place to serve their customers.</w:t>
      </w:r>
      <w:r w:rsidR="00C82FE8" w:rsidRPr="005D6058">
        <w:t xml:space="preserve"> </w:t>
      </w:r>
      <w:r w:rsidR="00893F09" w:rsidRPr="005D6058">
        <w:t xml:space="preserve">  If it is determined that the Agent’s commitments were not upheld</w:t>
      </w:r>
      <w:r w:rsidR="00DC2258" w:rsidRPr="005D6058">
        <w:t xml:space="preserve">, CRA reserves the right to move that Agent into a </w:t>
      </w:r>
      <w:r w:rsidR="00C82FE8" w:rsidRPr="005D6058">
        <w:t>lower status</w:t>
      </w:r>
      <w:r w:rsidR="00DC2258" w:rsidRPr="005D6058">
        <w:t xml:space="preserve"> </w:t>
      </w:r>
      <w:r w:rsidR="00C82FE8" w:rsidRPr="005D6058">
        <w:t>with</w:t>
      </w:r>
      <w:r w:rsidR="00182BCC" w:rsidRPr="005D6058">
        <w:t xml:space="preserve"> the</w:t>
      </w:r>
      <w:r w:rsidR="00DE2516" w:rsidRPr="005D6058">
        <w:t xml:space="preserve"> </w:t>
      </w:r>
      <w:r w:rsidR="00182BCC" w:rsidRPr="005D6058">
        <w:t>higher</w:t>
      </w:r>
      <w:r w:rsidR="00DE2516" w:rsidRPr="005D6058">
        <w:t xml:space="preserve"> revenue structure or terminate the agreement.</w:t>
      </w:r>
      <w:r w:rsidRPr="005D6058">
        <w:t xml:space="preserve">  By the same token</w:t>
      </w:r>
      <w:r w:rsidR="004B1EE8" w:rsidRPr="005D6058">
        <w:t>,</w:t>
      </w:r>
      <w:r w:rsidRPr="005D6058">
        <w:t xml:space="preserve"> if an Agent exceeds their projections or </w:t>
      </w:r>
      <w:r w:rsidR="004B1EE8" w:rsidRPr="005D6058">
        <w:t xml:space="preserve">their </w:t>
      </w:r>
      <w:r w:rsidRPr="005D6058">
        <w:t>environment changes, the Agent may be moved to a higher status with a lower rate structure.</w:t>
      </w:r>
    </w:p>
    <w:p w:rsidR="005D6058" w:rsidRDefault="005D6058" w:rsidP="00046771"/>
    <w:p w:rsidR="00C82FE8" w:rsidRPr="005D6058" w:rsidRDefault="008173D6" w:rsidP="00046771">
      <w:r w:rsidRPr="005D6058">
        <w:t xml:space="preserve">CRA will reach out to any </w:t>
      </w:r>
      <w:r w:rsidR="00650A1F" w:rsidRPr="005D6058">
        <w:t>Agent that ha</w:t>
      </w:r>
      <w:r w:rsidRPr="005D6058">
        <w:t>s</w:t>
      </w:r>
      <w:r w:rsidR="00650A1F" w:rsidRPr="005D6058">
        <w:t xml:space="preserve"> not submitted work within</w:t>
      </w:r>
      <w:r w:rsidRPr="005D6058">
        <w:t xml:space="preserve"> a</w:t>
      </w:r>
      <w:r w:rsidR="00D541F3" w:rsidRPr="005D6058">
        <w:t xml:space="preserve"> 90 </w:t>
      </w:r>
      <w:r w:rsidR="00503716" w:rsidRPr="005D6058">
        <w:t xml:space="preserve">day </w:t>
      </w:r>
      <w:r w:rsidRPr="005D6058">
        <w:t xml:space="preserve">period.  At that time we will discuss </w:t>
      </w:r>
      <w:r w:rsidR="004B1EE8" w:rsidRPr="005D6058">
        <w:t>potential</w:t>
      </w:r>
      <w:r w:rsidRPr="005D6058">
        <w:t xml:space="preserve"> work to be submitted within the next 30 days.</w:t>
      </w:r>
      <w:r w:rsidR="00D541F3" w:rsidRPr="005D6058">
        <w:t xml:space="preserve">    If</w:t>
      </w:r>
      <w:r w:rsidR="004B1EE8" w:rsidRPr="005D6058">
        <w:t>,</w:t>
      </w:r>
      <w:r w:rsidR="00D541F3" w:rsidRPr="005D6058">
        <w:t xml:space="preserve"> however</w:t>
      </w:r>
      <w:r w:rsidR="004B1EE8" w:rsidRPr="005D6058">
        <w:t>,</w:t>
      </w:r>
      <w:r w:rsidR="00D541F3" w:rsidRPr="005D6058">
        <w:t xml:space="preserve"> no work is submitted </w:t>
      </w:r>
      <w:r w:rsidR="00650A1F" w:rsidRPr="005D6058">
        <w:t>in the in the next</w:t>
      </w:r>
      <w:r w:rsidR="00D541F3" w:rsidRPr="005D6058">
        <w:t xml:space="preserve"> 30 days,</w:t>
      </w:r>
      <w:r w:rsidR="00C82FE8" w:rsidRPr="005D6058">
        <w:t xml:space="preserve"> communication links</w:t>
      </w:r>
      <w:r w:rsidR="00D1723B" w:rsidRPr="005D6058">
        <w:t>, e</w:t>
      </w:r>
      <w:r w:rsidR="00C82FE8" w:rsidRPr="005D6058">
        <w:t xml:space="preserve">mail and phone will be dismantled. </w:t>
      </w:r>
      <w:r w:rsidR="00D1723B" w:rsidRPr="005D6058">
        <w:t xml:space="preserve"> I</w:t>
      </w:r>
      <w:r w:rsidR="00650A1F" w:rsidRPr="005D6058">
        <w:t>f the Agent elect</w:t>
      </w:r>
      <w:r w:rsidR="00503716" w:rsidRPr="005D6058">
        <w:t>s</w:t>
      </w:r>
      <w:r w:rsidR="00650A1F" w:rsidRPr="005D6058">
        <w:t xml:space="preserve"> to engage</w:t>
      </w:r>
      <w:r w:rsidR="00D1723B" w:rsidRPr="005D6058">
        <w:t xml:space="preserve"> CRA in the future,</w:t>
      </w:r>
      <w:r w:rsidR="00650A1F" w:rsidRPr="005D6058">
        <w:t xml:space="preserve"> new</w:t>
      </w:r>
      <w:r w:rsidR="00D1723B" w:rsidRPr="005D6058">
        <w:t xml:space="preserve"> </w:t>
      </w:r>
      <w:r w:rsidR="00C82FE8" w:rsidRPr="005D6058">
        <w:t xml:space="preserve">onboarding </w:t>
      </w:r>
      <w:r w:rsidR="00650A1F" w:rsidRPr="005D6058">
        <w:t xml:space="preserve">fees will be required.  </w:t>
      </w:r>
    </w:p>
    <w:sectPr w:rsidR="00C82FE8" w:rsidRPr="005D6058" w:rsidSect="005D6058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86"/>
    <w:rsid w:val="00046771"/>
    <w:rsid w:val="0007481E"/>
    <w:rsid w:val="000A7506"/>
    <w:rsid w:val="00145A5F"/>
    <w:rsid w:val="00182BCC"/>
    <w:rsid w:val="00447F86"/>
    <w:rsid w:val="00473B76"/>
    <w:rsid w:val="00483C05"/>
    <w:rsid w:val="00485823"/>
    <w:rsid w:val="004B1EE8"/>
    <w:rsid w:val="00503716"/>
    <w:rsid w:val="005D6058"/>
    <w:rsid w:val="005F009D"/>
    <w:rsid w:val="00650A1F"/>
    <w:rsid w:val="008173D6"/>
    <w:rsid w:val="00846A3B"/>
    <w:rsid w:val="00893F09"/>
    <w:rsid w:val="00B82BF8"/>
    <w:rsid w:val="00C82FE8"/>
    <w:rsid w:val="00D1723B"/>
    <w:rsid w:val="00D541F3"/>
    <w:rsid w:val="00DC2258"/>
    <w:rsid w:val="00DE2516"/>
    <w:rsid w:val="00E93931"/>
    <w:rsid w:val="00E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6012-3091-4564-A737-3BC6D4CB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Bernstein</dc:creator>
  <cp:lastModifiedBy>Laura Bernstein</cp:lastModifiedBy>
  <cp:revision>2</cp:revision>
  <dcterms:created xsi:type="dcterms:W3CDTF">2017-07-05T15:59:00Z</dcterms:created>
  <dcterms:modified xsi:type="dcterms:W3CDTF">2017-07-05T15:59:00Z</dcterms:modified>
</cp:coreProperties>
</file>